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F9D9" w14:textId="6969D136" w:rsidR="000F10E7" w:rsidRPr="00F97C0C" w:rsidRDefault="000F10E7" w:rsidP="00F97C0C">
      <w:pPr>
        <w:pStyle w:val="Heading1"/>
      </w:pPr>
      <w:r w:rsidRPr="00F97C0C">
        <w:rPr>
          <w:rStyle w:val="Heading1Char"/>
          <w:b/>
          <w:bCs/>
        </w:rPr>
        <w:t>Payday Super Is Coming: What Businesses</w:t>
      </w:r>
      <w:r w:rsidR="0001659C">
        <w:rPr>
          <w:rStyle w:val="Heading1Char"/>
          <w:b/>
          <w:bCs/>
        </w:rPr>
        <w:t xml:space="preserve"> in the Tourism Industry</w:t>
      </w:r>
      <w:r w:rsidRPr="00F97C0C">
        <w:rPr>
          <w:rStyle w:val="Heading1Char"/>
          <w:b/>
          <w:bCs/>
        </w:rPr>
        <w:t xml:space="preserve"> Need to Know Before 1 July</w:t>
      </w:r>
      <w:r w:rsidRPr="00F97C0C">
        <w:t xml:space="preserve"> 2026</w:t>
      </w:r>
    </w:p>
    <w:p w14:paraId="204ED04D" w14:textId="1B8BE8A6" w:rsidR="000F10E7" w:rsidRPr="000F10E7" w:rsidRDefault="000F10E7" w:rsidP="00F97C0C">
      <w:r w:rsidRPr="000F10E7">
        <w:t>From 1 July 2026, the Federal Government’s Payday Super reforms will change the way Australian businesses pay superannuation. For many businesses</w:t>
      </w:r>
      <w:r w:rsidR="0001659C">
        <w:t xml:space="preserve"> in the tourism</w:t>
      </w:r>
      <w:r w:rsidRPr="000F10E7">
        <w:t>, this will be one of the most significant payroll changes in years.</w:t>
      </w:r>
    </w:p>
    <w:p w14:paraId="0A99E4FB" w14:textId="6168EE96" w:rsidR="000F10E7" w:rsidRPr="000F10E7" w:rsidRDefault="000F10E7" w:rsidP="00F97C0C">
      <w:r w:rsidRPr="000F10E7">
        <w:t>Instead of paying super quarterly, employers will be required to pay super at the same time as wages. While this change is designed to improve outcomes for employees, it will require businesses to rethink payroll processes, cash flow management and compliance practices.</w:t>
      </w:r>
    </w:p>
    <w:p w14:paraId="4CF21DD7" w14:textId="1195D8DF" w:rsidR="000F10E7" w:rsidRPr="000F10E7" w:rsidRDefault="000F10E7" w:rsidP="00F97C0C">
      <w:pPr>
        <w:pStyle w:val="Heading1"/>
      </w:pPr>
      <w:r w:rsidRPr="000F10E7">
        <w:t>Why This Matters for Businesses</w:t>
      </w:r>
    </w:p>
    <w:p w14:paraId="7F6FA4D5" w14:textId="5E956E3F" w:rsidR="000F10E7" w:rsidRPr="000F10E7" w:rsidRDefault="00B84E90" w:rsidP="00F97C0C">
      <w:r>
        <w:t>B</w:t>
      </w:r>
      <w:r w:rsidR="000F10E7" w:rsidRPr="000F10E7">
        <w:t>usinesses</w:t>
      </w:r>
      <w:r>
        <w:t xml:space="preserve"> in the Tourism industry</w:t>
      </w:r>
      <w:r w:rsidR="000F10E7" w:rsidRPr="000F10E7">
        <w:t xml:space="preserve"> often operate with:</w:t>
      </w:r>
    </w:p>
    <w:p w14:paraId="79137683" w14:textId="77777777" w:rsidR="000F10E7" w:rsidRPr="000F10E7" w:rsidRDefault="000F10E7" w:rsidP="00F97C0C">
      <w:pPr>
        <w:pStyle w:val="ListParagraph"/>
        <w:numPr>
          <w:ilvl w:val="0"/>
          <w:numId w:val="9"/>
        </w:numPr>
      </w:pPr>
      <w:r w:rsidRPr="000F10E7">
        <w:t>Seasonal peaks and troughs</w:t>
      </w:r>
    </w:p>
    <w:p w14:paraId="7AB67899" w14:textId="77777777" w:rsidR="000F10E7" w:rsidRPr="000F10E7" w:rsidRDefault="000F10E7" w:rsidP="00F97C0C">
      <w:pPr>
        <w:pStyle w:val="ListParagraph"/>
        <w:numPr>
          <w:ilvl w:val="0"/>
          <w:numId w:val="9"/>
        </w:numPr>
      </w:pPr>
      <w:r w:rsidRPr="000F10E7">
        <w:t>Casual and part-time workforces</w:t>
      </w:r>
    </w:p>
    <w:p w14:paraId="453D6CE8" w14:textId="77777777" w:rsidR="000F10E7" w:rsidRPr="000F10E7" w:rsidRDefault="000F10E7" w:rsidP="00F97C0C">
      <w:pPr>
        <w:pStyle w:val="ListParagraph"/>
        <w:numPr>
          <w:ilvl w:val="0"/>
          <w:numId w:val="9"/>
        </w:numPr>
      </w:pPr>
      <w:r w:rsidRPr="000F10E7">
        <w:t>Variable hours and overtime</w:t>
      </w:r>
    </w:p>
    <w:p w14:paraId="6087ECB3" w14:textId="77777777" w:rsidR="000F10E7" w:rsidRPr="000F10E7" w:rsidRDefault="000F10E7" w:rsidP="00F97C0C">
      <w:pPr>
        <w:pStyle w:val="ListParagraph"/>
        <w:numPr>
          <w:ilvl w:val="0"/>
          <w:numId w:val="9"/>
        </w:numPr>
      </w:pPr>
      <w:r w:rsidRPr="000F10E7">
        <w:t>Tight margins and weather-dependent income</w:t>
      </w:r>
    </w:p>
    <w:p w14:paraId="599088DC" w14:textId="77777777" w:rsidR="000F10E7" w:rsidRPr="00F97C0C" w:rsidRDefault="000F10E7" w:rsidP="00F97C0C">
      <w:r w:rsidRPr="00F97C0C">
        <w:t>These factors mean the move to Payday Super can have a real and immediate cash flow impact if businesses are not prepared.</w:t>
      </w:r>
    </w:p>
    <w:p w14:paraId="18DF471A" w14:textId="77777777" w:rsidR="000F10E7" w:rsidRPr="00F97C0C" w:rsidRDefault="000F10E7" w:rsidP="00F97C0C">
      <w:r w:rsidRPr="00F97C0C">
        <w:t>Without planning, some employers may experience:</w:t>
      </w:r>
    </w:p>
    <w:p w14:paraId="48B7687E" w14:textId="77777777" w:rsidR="000F10E7" w:rsidRPr="000F10E7" w:rsidRDefault="000F10E7" w:rsidP="00F97C0C">
      <w:pPr>
        <w:pStyle w:val="ListParagraph"/>
        <w:numPr>
          <w:ilvl w:val="0"/>
          <w:numId w:val="10"/>
        </w:numPr>
      </w:pPr>
      <w:r w:rsidRPr="000F10E7">
        <w:t>Cash flow pressure each pay cycle</w:t>
      </w:r>
    </w:p>
    <w:p w14:paraId="3F307E85" w14:textId="77777777" w:rsidR="000F10E7" w:rsidRPr="000F10E7" w:rsidRDefault="000F10E7" w:rsidP="00F97C0C">
      <w:pPr>
        <w:pStyle w:val="ListParagraph"/>
        <w:numPr>
          <w:ilvl w:val="0"/>
          <w:numId w:val="10"/>
        </w:numPr>
      </w:pPr>
      <w:r w:rsidRPr="000F10E7">
        <w:t>Missed or late super payments</w:t>
      </w:r>
    </w:p>
    <w:p w14:paraId="42727880" w14:textId="77777777" w:rsidR="000F10E7" w:rsidRPr="000F10E7" w:rsidRDefault="000F10E7" w:rsidP="00F97C0C">
      <w:pPr>
        <w:pStyle w:val="ListParagraph"/>
        <w:numPr>
          <w:ilvl w:val="0"/>
          <w:numId w:val="10"/>
        </w:numPr>
      </w:pPr>
      <w:r w:rsidRPr="000F10E7">
        <w:t>Increased risk of penalties and interest</w:t>
      </w:r>
    </w:p>
    <w:p w14:paraId="3C85AB94" w14:textId="77777777" w:rsidR="000F10E7" w:rsidRPr="000F10E7" w:rsidRDefault="000F10E7" w:rsidP="00F97C0C">
      <w:pPr>
        <w:pStyle w:val="ListParagraph"/>
        <w:numPr>
          <w:ilvl w:val="0"/>
          <w:numId w:val="10"/>
        </w:numPr>
      </w:pPr>
      <w:r w:rsidRPr="000F10E7">
        <w:t>Additional administrative burden</w:t>
      </w:r>
    </w:p>
    <w:p w14:paraId="6F1427E0" w14:textId="59DC80A4" w:rsidR="000F10E7" w:rsidRPr="000F10E7" w:rsidRDefault="000F10E7" w:rsidP="00F97C0C">
      <w:r w:rsidRPr="000F10E7">
        <w:t>The good news</w:t>
      </w:r>
      <w:r w:rsidR="000703C9">
        <w:t xml:space="preserve"> is that w</w:t>
      </w:r>
      <w:r w:rsidRPr="000F10E7">
        <w:t>ith the right preparation, these risks can be managed.</w:t>
      </w:r>
    </w:p>
    <w:p w14:paraId="734AB7C7" w14:textId="77777777" w:rsidR="000F10E7" w:rsidRPr="000F10E7" w:rsidRDefault="000F10E7" w:rsidP="00F97C0C">
      <w:pPr>
        <w:pStyle w:val="Heading1"/>
      </w:pPr>
      <w:r w:rsidRPr="000F10E7">
        <w:t>What Is Payday Super?</w:t>
      </w:r>
    </w:p>
    <w:p w14:paraId="147953CB" w14:textId="4C0BA371" w:rsidR="000F10E7" w:rsidRPr="00F97C0C" w:rsidRDefault="00737A01" w:rsidP="00F97C0C">
      <w:r>
        <w:t xml:space="preserve">From 1 July 2026, </w:t>
      </w:r>
      <w:r w:rsidR="000F10E7" w:rsidRPr="00F97C0C">
        <w:t>superannuation contributions must</w:t>
      </w:r>
      <w:r w:rsidR="00F2346F" w:rsidRPr="00F2346F">
        <w:t xml:space="preserve"> reach the </w:t>
      </w:r>
      <w:r w:rsidR="001B7BF5" w:rsidRPr="00F2346F">
        <w:t>employees</w:t>
      </w:r>
      <w:r w:rsidR="00F2346F" w:rsidRPr="00F2346F">
        <w:t xml:space="preserve"> nominated </w:t>
      </w:r>
      <w:r w:rsidR="007B6F87">
        <w:t xml:space="preserve">superannuation fund </w:t>
      </w:r>
      <w:r w:rsidR="00F2346F" w:rsidRPr="00F2346F">
        <w:t>account within 7 business days</w:t>
      </w:r>
      <w:r w:rsidR="000F10E7" w:rsidRPr="00F97C0C">
        <w:t>. This applies to all eligible employees, including:</w:t>
      </w:r>
    </w:p>
    <w:p w14:paraId="0D904806" w14:textId="77777777" w:rsidR="000F10E7" w:rsidRPr="000F10E7" w:rsidRDefault="000F10E7" w:rsidP="00F97C0C">
      <w:pPr>
        <w:pStyle w:val="ListParagraph"/>
        <w:numPr>
          <w:ilvl w:val="0"/>
          <w:numId w:val="11"/>
        </w:numPr>
      </w:pPr>
      <w:r w:rsidRPr="000F10E7">
        <w:t>Full-time employees</w:t>
      </w:r>
    </w:p>
    <w:p w14:paraId="7327C746" w14:textId="77777777" w:rsidR="000F10E7" w:rsidRPr="000F10E7" w:rsidRDefault="000F10E7" w:rsidP="00F97C0C">
      <w:pPr>
        <w:pStyle w:val="ListParagraph"/>
        <w:numPr>
          <w:ilvl w:val="0"/>
          <w:numId w:val="11"/>
        </w:numPr>
      </w:pPr>
      <w:r w:rsidRPr="000F10E7">
        <w:t>Part-time employees</w:t>
      </w:r>
    </w:p>
    <w:p w14:paraId="5814B201" w14:textId="77777777" w:rsidR="000F10E7" w:rsidRPr="000F10E7" w:rsidRDefault="000F10E7" w:rsidP="00F97C0C">
      <w:pPr>
        <w:pStyle w:val="ListParagraph"/>
        <w:numPr>
          <w:ilvl w:val="0"/>
          <w:numId w:val="11"/>
        </w:numPr>
      </w:pPr>
      <w:r w:rsidRPr="000F10E7">
        <w:t>Casual employees</w:t>
      </w:r>
    </w:p>
    <w:p w14:paraId="2CFDA7A8" w14:textId="77777777" w:rsidR="000F10E7" w:rsidRDefault="000F10E7" w:rsidP="00F97C0C">
      <w:r w:rsidRPr="000F10E7">
        <w:t>If wages are paid weekly, super must be paid weekly. If wages are paid fortnightly, super must be paid fortnightly.</w:t>
      </w:r>
    </w:p>
    <w:p w14:paraId="1A15A2F6" w14:textId="25B33CAE" w:rsidR="000F10E7" w:rsidRPr="000F10E7" w:rsidRDefault="000F10E7" w:rsidP="00F97C0C">
      <w:pPr>
        <w:pStyle w:val="Heading1"/>
      </w:pPr>
      <w:r w:rsidRPr="000F10E7">
        <w:t xml:space="preserve">Key Risks Employers Should </w:t>
      </w:r>
      <w:r w:rsidR="005F1EA3">
        <w:t>Know</w:t>
      </w:r>
    </w:p>
    <w:p w14:paraId="4B19836B" w14:textId="7637D1FC" w:rsidR="000F10E7" w:rsidRPr="000F10E7" w:rsidRDefault="000F10E7" w:rsidP="00F97C0C">
      <w:r w:rsidRPr="000F10E7">
        <w:t>For businesses</w:t>
      </w:r>
      <w:r w:rsidR="00B84E90">
        <w:t xml:space="preserve"> within the tourism industry</w:t>
      </w:r>
      <w:r w:rsidRPr="000F10E7">
        <w:t>, the most common risk areas we are seeing include:</w:t>
      </w:r>
    </w:p>
    <w:p w14:paraId="16C96A29" w14:textId="77777777" w:rsidR="00AC4562" w:rsidRPr="00323794" w:rsidRDefault="000F10E7" w:rsidP="00323794">
      <w:pPr>
        <w:pStyle w:val="Heading2"/>
      </w:pPr>
      <w:r w:rsidRPr="00323794">
        <w:lastRenderedPageBreak/>
        <w:t>Cash flow shocks</w:t>
      </w:r>
    </w:p>
    <w:p w14:paraId="2CD387B9" w14:textId="6306CBE8" w:rsidR="000F10E7" w:rsidRPr="000F10E7" w:rsidRDefault="000F10E7" w:rsidP="00F97C0C">
      <w:r w:rsidRPr="000F10E7">
        <w:t>Quarterly super payments often allow businesses time to plan. Moving to pay-cycle super reduces flexibility and can impact working capital.</w:t>
      </w:r>
    </w:p>
    <w:p w14:paraId="0B47C87E" w14:textId="35C3282B" w:rsidR="00AC4562" w:rsidRDefault="000F10E7" w:rsidP="00323794">
      <w:pPr>
        <w:pStyle w:val="Heading2"/>
      </w:pPr>
      <w:r w:rsidRPr="000F10E7">
        <w:t xml:space="preserve">Payroll system </w:t>
      </w:r>
      <w:r w:rsidR="00AC4562">
        <w:t>readiness</w:t>
      </w:r>
    </w:p>
    <w:p w14:paraId="4A0A949B" w14:textId="6DF18AF9" w:rsidR="000F10E7" w:rsidRPr="000F10E7" w:rsidRDefault="000F10E7" w:rsidP="00F97C0C">
      <w:r w:rsidRPr="000F10E7">
        <w:t>Not all payroll systems are set up to process real-time super payments efficiently.</w:t>
      </w:r>
    </w:p>
    <w:p w14:paraId="326B849E" w14:textId="77777777" w:rsidR="00AC4562" w:rsidRDefault="000F10E7" w:rsidP="00323794">
      <w:pPr>
        <w:pStyle w:val="Heading2"/>
      </w:pPr>
      <w:r w:rsidRPr="000F10E7">
        <w:t>Compliance mistakes</w:t>
      </w:r>
    </w:p>
    <w:p w14:paraId="12F3D454" w14:textId="5DCA3BF8" w:rsidR="000F10E7" w:rsidRPr="000F10E7" w:rsidRDefault="000F10E7" w:rsidP="00F97C0C">
      <w:r w:rsidRPr="000F10E7">
        <w:t>Late or missed super payments can attract penalties, interest and compliance action from the ATO.</w:t>
      </w:r>
    </w:p>
    <w:p w14:paraId="3D68221F" w14:textId="77777777" w:rsidR="00AC4562" w:rsidRDefault="000F10E7" w:rsidP="00323794">
      <w:pPr>
        <w:pStyle w:val="Heading2"/>
      </w:pPr>
      <w:r w:rsidRPr="000F10E7">
        <w:t>Administrative overload</w:t>
      </w:r>
    </w:p>
    <w:p w14:paraId="2F256213" w14:textId="5446DBB9" w:rsidR="000F10E7" w:rsidRPr="000F10E7" w:rsidRDefault="000F10E7" w:rsidP="00F97C0C">
      <w:r w:rsidRPr="000F10E7">
        <w:t>Without streamlined systems, paying super every pay cycle can increase administrative time and errors.</w:t>
      </w:r>
    </w:p>
    <w:p w14:paraId="48303849" w14:textId="567FA68F" w:rsidR="000F10E7" w:rsidRPr="000F10E7" w:rsidRDefault="000F10E7" w:rsidP="00323794">
      <w:pPr>
        <w:pStyle w:val="Heading1"/>
      </w:pPr>
      <w:r w:rsidRPr="000F10E7">
        <w:t>Practical Steps Businesses Can Take Now</w:t>
      </w:r>
    </w:p>
    <w:p w14:paraId="7CEC29FF" w14:textId="24BD7DD1" w:rsidR="000F10E7" w:rsidRPr="000F10E7" w:rsidRDefault="000F10E7" w:rsidP="00F97C0C">
      <w:r w:rsidRPr="000F10E7">
        <w:t xml:space="preserve">Preparing early is key. </w:t>
      </w:r>
      <w:r w:rsidR="00B84E90">
        <w:t>B</w:t>
      </w:r>
      <w:r w:rsidRPr="000F10E7">
        <w:t>usinesses should consider the following steps well before 1 July 2026:</w:t>
      </w:r>
    </w:p>
    <w:p w14:paraId="0B1427E8" w14:textId="77777777" w:rsidR="000F10E7" w:rsidRPr="000F10E7" w:rsidRDefault="000F10E7" w:rsidP="00323794">
      <w:pPr>
        <w:pStyle w:val="Heading2"/>
      </w:pPr>
      <w:r w:rsidRPr="000F10E7">
        <w:t>1. Review Your Cash Flow</w:t>
      </w:r>
    </w:p>
    <w:p w14:paraId="1F4BA3F5" w14:textId="77777777" w:rsidR="000F10E7" w:rsidRPr="000F10E7" w:rsidRDefault="000F10E7" w:rsidP="00323794">
      <w:pPr>
        <w:pStyle w:val="ListParagraph"/>
        <w:numPr>
          <w:ilvl w:val="0"/>
          <w:numId w:val="12"/>
        </w:numPr>
      </w:pPr>
      <w:r w:rsidRPr="000F10E7">
        <w:t>Factor super payments into every pay run</w:t>
      </w:r>
    </w:p>
    <w:p w14:paraId="33DDBC15" w14:textId="77777777" w:rsidR="000F10E7" w:rsidRPr="000F10E7" w:rsidRDefault="000F10E7" w:rsidP="00323794">
      <w:pPr>
        <w:pStyle w:val="ListParagraph"/>
        <w:numPr>
          <w:ilvl w:val="0"/>
          <w:numId w:val="12"/>
        </w:numPr>
      </w:pPr>
      <w:r w:rsidRPr="000F10E7">
        <w:t>Stress-test your cash flow during quieter periods</w:t>
      </w:r>
    </w:p>
    <w:p w14:paraId="5C852F71" w14:textId="77777777" w:rsidR="000F10E7" w:rsidRPr="000F10E7" w:rsidRDefault="000F10E7" w:rsidP="00323794">
      <w:pPr>
        <w:pStyle w:val="ListParagraph"/>
        <w:numPr>
          <w:ilvl w:val="0"/>
          <w:numId w:val="12"/>
        </w:numPr>
      </w:pPr>
      <w:r w:rsidRPr="000F10E7">
        <w:t>Build buffers where possible</w:t>
      </w:r>
    </w:p>
    <w:p w14:paraId="7C79FCA1" w14:textId="77777777" w:rsidR="000F10E7" w:rsidRPr="000F10E7" w:rsidRDefault="000F10E7" w:rsidP="00323794">
      <w:pPr>
        <w:pStyle w:val="Heading2"/>
      </w:pPr>
      <w:r w:rsidRPr="000F10E7">
        <w:t>2. Check Your Payroll and Accounting Systems</w:t>
      </w:r>
    </w:p>
    <w:p w14:paraId="6EDDB2FB" w14:textId="77777777" w:rsidR="000F10E7" w:rsidRPr="000F10E7" w:rsidRDefault="000F10E7" w:rsidP="00323794">
      <w:pPr>
        <w:pStyle w:val="ListParagraph"/>
        <w:numPr>
          <w:ilvl w:val="0"/>
          <w:numId w:val="13"/>
        </w:numPr>
      </w:pPr>
      <w:r w:rsidRPr="000F10E7">
        <w:t>Confirm your payroll software can handle payday super</w:t>
      </w:r>
    </w:p>
    <w:p w14:paraId="4A28492F" w14:textId="77777777" w:rsidR="000F10E7" w:rsidRPr="000F10E7" w:rsidRDefault="000F10E7" w:rsidP="00323794">
      <w:pPr>
        <w:pStyle w:val="ListParagraph"/>
        <w:numPr>
          <w:ilvl w:val="0"/>
          <w:numId w:val="13"/>
        </w:numPr>
      </w:pPr>
      <w:r w:rsidRPr="000F10E7">
        <w:t>Ensure it integrates smoothly with your super clearing house</w:t>
      </w:r>
    </w:p>
    <w:p w14:paraId="068C6F9D" w14:textId="77777777" w:rsidR="000F10E7" w:rsidRPr="000F10E7" w:rsidRDefault="000F10E7" w:rsidP="00323794">
      <w:pPr>
        <w:pStyle w:val="ListParagraph"/>
        <w:numPr>
          <w:ilvl w:val="0"/>
          <w:numId w:val="13"/>
        </w:numPr>
      </w:pPr>
      <w:r w:rsidRPr="000F10E7">
        <w:t>Speak to your bookkeeper or accountant early</w:t>
      </w:r>
    </w:p>
    <w:p w14:paraId="54A27DDA" w14:textId="77777777" w:rsidR="000F10E7" w:rsidRPr="000F10E7" w:rsidRDefault="000F10E7" w:rsidP="00323794">
      <w:pPr>
        <w:pStyle w:val="Heading2"/>
      </w:pPr>
      <w:r w:rsidRPr="000F10E7">
        <w:t>3. Review Employment Arrangements</w:t>
      </w:r>
    </w:p>
    <w:p w14:paraId="78C2E74A" w14:textId="77777777" w:rsidR="000F10E7" w:rsidRPr="000F10E7" w:rsidRDefault="000F10E7" w:rsidP="00323794">
      <w:pPr>
        <w:pStyle w:val="ListParagraph"/>
        <w:numPr>
          <w:ilvl w:val="0"/>
          <w:numId w:val="14"/>
        </w:numPr>
      </w:pPr>
      <w:r w:rsidRPr="000F10E7">
        <w:t>Check employee classifications and pay structures</w:t>
      </w:r>
    </w:p>
    <w:p w14:paraId="682FEC94" w14:textId="77777777" w:rsidR="000F10E7" w:rsidRPr="000F10E7" w:rsidRDefault="000F10E7" w:rsidP="00323794">
      <w:pPr>
        <w:pStyle w:val="ListParagraph"/>
        <w:numPr>
          <w:ilvl w:val="0"/>
          <w:numId w:val="14"/>
        </w:numPr>
      </w:pPr>
      <w:r w:rsidRPr="000F10E7">
        <w:t>Ensure casual loadings and allowances are calculated correctly</w:t>
      </w:r>
    </w:p>
    <w:p w14:paraId="1193DCC9" w14:textId="77777777" w:rsidR="000F10E7" w:rsidRPr="000F10E7" w:rsidRDefault="000F10E7" w:rsidP="00323794">
      <w:pPr>
        <w:pStyle w:val="ListParagraph"/>
        <w:numPr>
          <w:ilvl w:val="0"/>
          <w:numId w:val="14"/>
        </w:numPr>
      </w:pPr>
      <w:r w:rsidRPr="000F10E7">
        <w:t>Confirm super eligibility across your workforce</w:t>
      </w:r>
    </w:p>
    <w:p w14:paraId="7089B786" w14:textId="06FCD3C5" w:rsidR="000F10E7" w:rsidRPr="000F10E7" w:rsidRDefault="000F10E7" w:rsidP="00323794">
      <w:pPr>
        <w:pStyle w:val="Heading2"/>
      </w:pPr>
      <w:r w:rsidRPr="000F10E7">
        <w:t>4. Upskill Your Admin</w:t>
      </w:r>
      <w:r w:rsidR="00D172FD">
        <w:t>istration</w:t>
      </w:r>
      <w:r w:rsidR="00B60BA0">
        <w:t>, Finance</w:t>
      </w:r>
      <w:r w:rsidRPr="000F10E7">
        <w:t xml:space="preserve"> and Management Team</w:t>
      </w:r>
    </w:p>
    <w:p w14:paraId="6E528BD5" w14:textId="77777777" w:rsidR="000F10E7" w:rsidRPr="000F10E7" w:rsidRDefault="000F10E7" w:rsidP="00323794">
      <w:pPr>
        <w:pStyle w:val="ListParagraph"/>
        <w:numPr>
          <w:ilvl w:val="0"/>
          <w:numId w:val="15"/>
        </w:numPr>
      </w:pPr>
      <w:r w:rsidRPr="000F10E7">
        <w:t>Make sure those processing payroll understand the new rules</w:t>
      </w:r>
    </w:p>
    <w:p w14:paraId="6FCB69D4" w14:textId="77777777" w:rsidR="000F10E7" w:rsidRPr="000F10E7" w:rsidRDefault="000F10E7" w:rsidP="00323794">
      <w:pPr>
        <w:pStyle w:val="ListParagraph"/>
        <w:numPr>
          <w:ilvl w:val="0"/>
          <w:numId w:val="15"/>
        </w:numPr>
      </w:pPr>
      <w:r w:rsidRPr="000F10E7">
        <w:t>Document payroll processes clearly</w:t>
      </w:r>
    </w:p>
    <w:p w14:paraId="69A7E92B" w14:textId="77777777" w:rsidR="000F10E7" w:rsidRDefault="000F10E7" w:rsidP="00323794">
      <w:pPr>
        <w:pStyle w:val="ListParagraph"/>
        <w:numPr>
          <w:ilvl w:val="0"/>
          <w:numId w:val="15"/>
        </w:numPr>
      </w:pPr>
      <w:r w:rsidRPr="000F10E7">
        <w:t>Schedule regular compliance checks</w:t>
      </w:r>
    </w:p>
    <w:p w14:paraId="69A8F9E6" w14:textId="77777777" w:rsidR="000F10E7" w:rsidRPr="000F10E7" w:rsidRDefault="000F10E7" w:rsidP="00323794">
      <w:pPr>
        <w:pStyle w:val="Heading2"/>
      </w:pPr>
      <w:r w:rsidRPr="000F10E7">
        <w:t>5. Seek Advice Before It Becomes Urgent</w:t>
      </w:r>
    </w:p>
    <w:p w14:paraId="1287E03F" w14:textId="77777777" w:rsidR="000F10E7" w:rsidRPr="000F10E7" w:rsidRDefault="000F10E7" w:rsidP="00323794">
      <w:pPr>
        <w:pStyle w:val="ListParagraph"/>
        <w:numPr>
          <w:ilvl w:val="0"/>
          <w:numId w:val="16"/>
        </w:numPr>
      </w:pPr>
      <w:r w:rsidRPr="000F10E7">
        <w:t>Don’t wait until June 2026</w:t>
      </w:r>
    </w:p>
    <w:p w14:paraId="01B295C0" w14:textId="77777777" w:rsidR="000F10E7" w:rsidRPr="000F10E7" w:rsidRDefault="000F10E7" w:rsidP="00323794">
      <w:pPr>
        <w:pStyle w:val="ListParagraph"/>
        <w:numPr>
          <w:ilvl w:val="0"/>
          <w:numId w:val="16"/>
        </w:numPr>
      </w:pPr>
      <w:r w:rsidRPr="000F10E7">
        <w:t>Early advice can help you adjust systems gradually rather than react under pressure</w:t>
      </w:r>
    </w:p>
    <w:p w14:paraId="3B279774" w14:textId="77777777" w:rsidR="000F10E7" w:rsidRPr="000F10E7" w:rsidRDefault="000F10E7" w:rsidP="00323794">
      <w:pPr>
        <w:pStyle w:val="Heading1"/>
      </w:pPr>
      <w:r w:rsidRPr="000F10E7">
        <w:lastRenderedPageBreak/>
        <w:t>Getting Support</w:t>
      </w:r>
    </w:p>
    <w:p w14:paraId="78EA1987" w14:textId="1DA0194E" w:rsidR="000F10E7" w:rsidRPr="00323794" w:rsidRDefault="000F10E7" w:rsidP="00F97C0C">
      <w:r w:rsidRPr="00323794">
        <w:t xml:space="preserve">Payday Super is not just a payroll change — it’s a business process change. </w:t>
      </w:r>
      <w:r w:rsidR="00B84E90">
        <w:t>B</w:t>
      </w:r>
      <w:r w:rsidRPr="00323794">
        <w:t>usinesses that prepare early will be far better placed to manage the transition smoothly and avoid unnecessary stress, cost and risk.</w:t>
      </w:r>
    </w:p>
    <w:p w14:paraId="47E23F76" w14:textId="21F77E82" w:rsidR="000F10E7" w:rsidRPr="000F10E7" w:rsidRDefault="000F10E7" w:rsidP="00F97C0C">
      <w:r w:rsidRPr="000F10E7">
        <w:t xml:space="preserve">At </w:t>
      </w:r>
      <w:r w:rsidRPr="00323794">
        <w:t>HR Advice Online, we</w:t>
      </w:r>
      <w:r w:rsidRPr="000F10E7">
        <w:t xml:space="preserve"> work with Australian businesses to help them understand upcoming workplace changes, meet their compliance obligations and put practical systems in place that work in the real world.</w:t>
      </w:r>
    </w:p>
    <w:p w14:paraId="4DA96F9A" w14:textId="1A298578" w:rsidR="000F10E7" w:rsidRPr="000F10E7" w:rsidRDefault="000F10E7" w:rsidP="00F97C0C">
      <w:r w:rsidRPr="000F10E7">
        <w:t xml:space="preserve">If you’re unsure how Payday Super will impact your business or would like support reviewing your payroll </w:t>
      </w:r>
      <w:proofErr w:type="gramStart"/>
      <w:r w:rsidRPr="000F10E7">
        <w:t>processes</w:t>
      </w:r>
      <w:proofErr w:type="gramEnd"/>
      <w:r w:rsidR="00323794">
        <w:t xml:space="preserve"> please contact our HR Advisory Team on 1300 720 004.</w:t>
      </w:r>
    </w:p>
    <w:p w14:paraId="33DFDC6F" w14:textId="77777777" w:rsidR="00554459" w:rsidRDefault="00554459" w:rsidP="00F97C0C"/>
    <w:sectPr w:rsidR="0055445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8FC3" w14:textId="77777777" w:rsidR="00376FB1" w:rsidRDefault="00376FB1" w:rsidP="001B7BF5">
      <w:pPr>
        <w:spacing w:after="0" w:line="240" w:lineRule="auto"/>
      </w:pPr>
      <w:r>
        <w:separator/>
      </w:r>
    </w:p>
  </w:endnote>
  <w:endnote w:type="continuationSeparator" w:id="0">
    <w:p w14:paraId="7B1C3532" w14:textId="77777777" w:rsidR="00376FB1" w:rsidRDefault="00376FB1" w:rsidP="001B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EB" w14:textId="70FAD741" w:rsidR="001B7BF5" w:rsidRPr="00C05AAB" w:rsidRDefault="001B7BF5" w:rsidP="00C05AAB">
    <w:pPr>
      <w:pStyle w:val="Footer"/>
      <w:pBdr>
        <w:top w:val="single" w:sz="4" w:space="1" w:color="auto"/>
      </w:pBdr>
      <w:rPr>
        <w:sz w:val="16"/>
        <w:szCs w:val="16"/>
      </w:rPr>
    </w:pPr>
    <w:r w:rsidRPr="00C05AAB">
      <w:rPr>
        <w:sz w:val="16"/>
        <w:szCs w:val="16"/>
      </w:rPr>
      <w:t>www.hradviceonline.com.au</w:t>
    </w:r>
    <w:r w:rsidRPr="00C05AAB">
      <w:rPr>
        <w:sz w:val="16"/>
        <w:szCs w:val="16"/>
      </w:rPr>
      <w:tab/>
    </w:r>
    <w:r w:rsidR="00C05AAB" w:rsidRPr="00C05AAB">
      <w:rPr>
        <w:sz w:val="16"/>
        <w:szCs w:val="16"/>
      </w:rPr>
      <w:t>Payday Superannuation</w:t>
    </w:r>
    <w:r w:rsidR="00C05AAB" w:rsidRPr="00C05AAB">
      <w:rPr>
        <w:sz w:val="16"/>
        <w:szCs w:val="16"/>
      </w:rPr>
      <w:tab/>
      <w:t xml:space="preserve">Page </w:t>
    </w:r>
    <w:r w:rsidR="00C05AAB" w:rsidRPr="00C05AAB">
      <w:rPr>
        <w:sz w:val="16"/>
        <w:szCs w:val="16"/>
      </w:rPr>
      <w:fldChar w:fldCharType="begin"/>
    </w:r>
    <w:r w:rsidR="00C05AAB" w:rsidRPr="00C05AAB">
      <w:rPr>
        <w:sz w:val="16"/>
        <w:szCs w:val="16"/>
      </w:rPr>
      <w:instrText xml:space="preserve"> PAGE   \* MERGEFORMAT </w:instrText>
    </w:r>
    <w:r w:rsidR="00C05AAB" w:rsidRPr="00C05AAB">
      <w:rPr>
        <w:sz w:val="16"/>
        <w:szCs w:val="16"/>
      </w:rPr>
      <w:fldChar w:fldCharType="separate"/>
    </w:r>
    <w:r w:rsidR="00C05AAB" w:rsidRPr="00C05AAB">
      <w:rPr>
        <w:noProof/>
        <w:sz w:val="16"/>
        <w:szCs w:val="16"/>
      </w:rPr>
      <w:t>1</w:t>
    </w:r>
    <w:r w:rsidR="00C05AAB" w:rsidRPr="00C05AA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CFA5" w14:textId="77777777" w:rsidR="00376FB1" w:rsidRDefault="00376FB1" w:rsidP="001B7BF5">
      <w:pPr>
        <w:spacing w:after="0" w:line="240" w:lineRule="auto"/>
      </w:pPr>
      <w:r>
        <w:separator/>
      </w:r>
    </w:p>
  </w:footnote>
  <w:footnote w:type="continuationSeparator" w:id="0">
    <w:p w14:paraId="6D0B158E" w14:textId="77777777" w:rsidR="00376FB1" w:rsidRDefault="00376FB1" w:rsidP="001B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9A" w14:textId="08C830E5" w:rsidR="00C05AAB" w:rsidRDefault="00401ED5">
    <w:pPr>
      <w:pStyle w:val="Header"/>
    </w:pPr>
    <w:r>
      <w:rPr>
        <w:noProof/>
        <w:lang w:val="en-US"/>
      </w:rPr>
      <w:drawing>
        <wp:anchor distT="0" distB="0" distL="114300" distR="114300" simplePos="0" relativeHeight="251659264" behindDoc="0" locked="0" layoutInCell="1" allowOverlap="1" wp14:anchorId="030875F2" wp14:editId="2DDF26AD">
          <wp:simplePos x="0" y="0"/>
          <wp:positionH relativeFrom="column">
            <wp:posOffset>4714875</wp:posOffset>
          </wp:positionH>
          <wp:positionV relativeFrom="paragraph">
            <wp:posOffset>-267335</wp:posOffset>
          </wp:positionV>
          <wp:extent cx="1342184" cy="6305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dviceOnline Logo.png"/>
                  <pic:cNvPicPr/>
                </pic:nvPicPr>
                <pic:blipFill>
                  <a:blip r:embed="rId1">
                    <a:extLst>
                      <a:ext uri="{28A0092B-C50C-407E-A947-70E740481C1C}">
                        <a14:useLocalDpi xmlns:a14="http://schemas.microsoft.com/office/drawing/2010/main" val="0"/>
                      </a:ext>
                    </a:extLst>
                  </a:blip>
                  <a:stretch>
                    <a:fillRect/>
                  </a:stretch>
                </pic:blipFill>
                <pic:spPr>
                  <a:xfrm>
                    <a:off x="0" y="0"/>
                    <a:ext cx="1342184" cy="63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B5D"/>
    <w:multiLevelType w:val="multilevel"/>
    <w:tmpl w:val="A43E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4E63"/>
    <w:multiLevelType w:val="multilevel"/>
    <w:tmpl w:val="4E3CD4BA"/>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1060B"/>
    <w:multiLevelType w:val="multilevel"/>
    <w:tmpl w:val="8D6E1E60"/>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B5330"/>
    <w:multiLevelType w:val="multilevel"/>
    <w:tmpl w:val="653E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C4EF4"/>
    <w:multiLevelType w:val="multilevel"/>
    <w:tmpl w:val="77C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407A"/>
    <w:multiLevelType w:val="multilevel"/>
    <w:tmpl w:val="7C9847B2"/>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21293"/>
    <w:multiLevelType w:val="multilevel"/>
    <w:tmpl w:val="765E957A"/>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D33D3"/>
    <w:multiLevelType w:val="multilevel"/>
    <w:tmpl w:val="2006F494"/>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C392C"/>
    <w:multiLevelType w:val="multilevel"/>
    <w:tmpl w:val="1F5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36EEF"/>
    <w:multiLevelType w:val="multilevel"/>
    <w:tmpl w:val="49E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D10EA"/>
    <w:multiLevelType w:val="multilevel"/>
    <w:tmpl w:val="EDB0F994"/>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81A13"/>
    <w:multiLevelType w:val="multilevel"/>
    <w:tmpl w:val="FA4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E57CC"/>
    <w:multiLevelType w:val="hybridMultilevel"/>
    <w:tmpl w:val="ED38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61100"/>
    <w:multiLevelType w:val="multilevel"/>
    <w:tmpl w:val="A286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B6DA3"/>
    <w:multiLevelType w:val="multilevel"/>
    <w:tmpl w:val="4BBAAB44"/>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F2338"/>
    <w:multiLevelType w:val="multilevel"/>
    <w:tmpl w:val="C9C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325AA"/>
    <w:multiLevelType w:val="multilevel"/>
    <w:tmpl w:val="30D6EFD8"/>
    <w:lvl w:ilvl="0">
      <w:start w:val="1"/>
      <w:numFmt w:val="bullet"/>
      <w:lvlText w:val=""/>
      <w:lvlJc w:val="left"/>
      <w:pPr>
        <w:tabs>
          <w:tab w:val="num" w:pos="720"/>
        </w:tabs>
        <w:ind w:left="720" w:hanging="360"/>
      </w:pPr>
      <w:rPr>
        <w:rFonts w:ascii="Symbol" w:hAnsi="Symbol" w:hint="default"/>
        <w:color w:val="F794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45077">
    <w:abstractNumId w:val="0"/>
  </w:num>
  <w:num w:numId="2" w16cid:durableId="908274521">
    <w:abstractNumId w:val="13"/>
  </w:num>
  <w:num w:numId="3" w16cid:durableId="945891634">
    <w:abstractNumId w:val="3"/>
  </w:num>
  <w:num w:numId="4" w16cid:durableId="1490976100">
    <w:abstractNumId w:val="4"/>
  </w:num>
  <w:num w:numId="5" w16cid:durableId="1984767687">
    <w:abstractNumId w:val="11"/>
  </w:num>
  <w:num w:numId="6" w16cid:durableId="1890874687">
    <w:abstractNumId w:val="15"/>
  </w:num>
  <w:num w:numId="7" w16cid:durableId="288240117">
    <w:abstractNumId w:val="9"/>
  </w:num>
  <w:num w:numId="8" w16cid:durableId="631442740">
    <w:abstractNumId w:val="8"/>
  </w:num>
  <w:num w:numId="9" w16cid:durableId="1298878253">
    <w:abstractNumId w:val="5"/>
  </w:num>
  <w:num w:numId="10" w16cid:durableId="1205481959">
    <w:abstractNumId w:val="6"/>
  </w:num>
  <w:num w:numId="11" w16cid:durableId="48724822">
    <w:abstractNumId w:val="10"/>
  </w:num>
  <w:num w:numId="12" w16cid:durableId="2123106288">
    <w:abstractNumId w:val="1"/>
  </w:num>
  <w:num w:numId="13" w16cid:durableId="1746876510">
    <w:abstractNumId w:val="14"/>
  </w:num>
  <w:num w:numId="14" w16cid:durableId="597444296">
    <w:abstractNumId w:val="16"/>
  </w:num>
  <w:num w:numId="15" w16cid:durableId="2108843116">
    <w:abstractNumId w:val="2"/>
  </w:num>
  <w:num w:numId="16" w16cid:durableId="1977687361">
    <w:abstractNumId w:val="7"/>
  </w:num>
  <w:num w:numId="17" w16cid:durableId="797336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1A"/>
    <w:rsid w:val="0001659C"/>
    <w:rsid w:val="000703C9"/>
    <w:rsid w:val="000F10E7"/>
    <w:rsid w:val="0019156D"/>
    <w:rsid w:val="001A5262"/>
    <w:rsid w:val="001B7BF5"/>
    <w:rsid w:val="002A731B"/>
    <w:rsid w:val="002C38B1"/>
    <w:rsid w:val="00323794"/>
    <w:rsid w:val="00376FB1"/>
    <w:rsid w:val="00401ED5"/>
    <w:rsid w:val="0041681A"/>
    <w:rsid w:val="00554459"/>
    <w:rsid w:val="005F1EA3"/>
    <w:rsid w:val="006D48AD"/>
    <w:rsid w:val="00737A01"/>
    <w:rsid w:val="007B6F87"/>
    <w:rsid w:val="007D5A65"/>
    <w:rsid w:val="009C063A"/>
    <w:rsid w:val="009C5AE9"/>
    <w:rsid w:val="00AC4562"/>
    <w:rsid w:val="00B60BA0"/>
    <w:rsid w:val="00B84E90"/>
    <w:rsid w:val="00C05AAB"/>
    <w:rsid w:val="00D172FD"/>
    <w:rsid w:val="00DA7EF4"/>
    <w:rsid w:val="00E6159B"/>
    <w:rsid w:val="00F2346F"/>
    <w:rsid w:val="00F251ED"/>
    <w:rsid w:val="00F97C0C"/>
    <w:rsid w:val="00FE64B8"/>
    <w:rsid w:val="00FF7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FB4D"/>
  <w15:chartTrackingRefBased/>
  <w15:docId w15:val="{222AEF98-1033-454C-98BE-F9B1EC3C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0C"/>
    <w:rPr>
      <w:rFonts w:ascii="Candara" w:hAnsi="Candara"/>
      <w:color w:val="555556"/>
      <w:sz w:val="22"/>
    </w:rPr>
  </w:style>
  <w:style w:type="paragraph" w:styleId="Heading1">
    <w:name w:val="heading 1"/>
    <w:basedOn w:val="Normal"/>
    <w:next w:val="Normal"/>
    <w:link w:val="Heading1Char"/>
    <w:uiPriority w:val="9"/>
    <w:qFormat/>
    <w:rsid w:val="00F97C0C"/>
    <w:pPr>
      <w:outlineLvl w:val="0"/>
    </w:pPr>
    <w:rPr>
      <w:rFonts w:eastAsiaTheme="majorEastAsia" w:cstheme="majorBidi"/>
      <w:b/>
      <w:bCs/>
      <w:color w:val="0D325A"/>
      <w:kern w:val="0"/>
      <w:sz w:val="36"/>
      <w:szCs w:val="36"/>
      <w14:ligatures w14:val="none"/>
    </w:rPr>
  </w:style>
  <w:style w:type="paragraph" w:styleId="Heading2">
    <w:name w:val="heading 2"/>
    <w:basedOn w:val="Normal"/>
    <w:next w:val="Normal"/>
    <w:link w:val="Heading2Char"/>
    <w:uiPriority w:val="9"/>
    <w:unhideWhenUsed/>
    <w:qFormat/>
    <w:rsid w:val="00323794"/>
    <w:pPr>
      <w:spacing w:after="120" w:line="276" w:lineRule="auto"/>
      <w:outlineLvl w:val="1"/>
    </w:pPr>
    <w:rPr>
      <w:b/>
      <w:bCs/>
      <w:color w:val="056838"/>
      <w:kern w:val="0"/>
      <w:sz w:val="28"/>
      <w14:ligatures w14:val="none"/>
    </w:rPr>
  </w:style>
  <w:style w:type="paragraph" w:styleId="Heading3">
    <w:name w:val="heading 3"/>
    <w:basedOn w:val="Normal"/>
    <w:next w:val="Normal"/>
    <w:link w:val="Heading3Char"/>
    <w:uiPriority w:val="9"/>
    <w:semiHidden/>
    <w:unhideWhenUsed/>
    <w:qFormat/>
    <w:rsid w:val="00416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0C"/>
    <w:rPr>
      <w:rFonts w:ascii="Candara" w:eastAsiaTheme="majorEastAsia" w:hAnsi="Candara" w:cstheme="majorBidi"/>
      <w:b/>
      <w:bCs/>
      <w:color w:val="0D325A"/>
      <w:kern w:val="0"/>
      <w:sz w:val="36"/>
      <w:szCs w:val="36"/>
      <w14:ligatures w14:val="none"/>
    </w:rPr>
  </w:style>
  <w:style w:type="character" w:customStyle="1" w:styleId="Heading2Char">
    <w:name w:val="Heading 2 Char"/>
    <w:basedOn w:val="DefaultParagraphFont"/>
    <w:link w:val="Heading2"/>
    <w:uiPriority w:val="9"/>
    <w:rsid w:val="00323794"/>
    <w:rPr>
      <w:rFonts w:ascii="Candara" w:hAnsi="Candara"/>
      <w:b/>
      <w:bCs/>
      <w:color w:val="056838"/>
      <w:kern w:val="0"/>
      <w:sz w:val="28"/>
      <w14:ligatures w14:val="none"/>
    </w:rPr>
  </w:style>
  <w:style w:type="character" w:customStyle="1" w:styleId="Heading3Char">
    <w:name w:val="Heading 3 Char"/>
    <w:basedOn w:val="DefaultParagraphFont"/>
    <w:link w:val="Heading3"/>
    <w:uiPriority w:val="9"/>
    <w:semiHidden/>
    <w:rsid w:val="00416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81A"/>
    <w:rPr>
      <w:rFonts w:eastAsiaTheme="majorEastAsia" w:cstheme="majorBidi"/>
      <w:color w:val="272727" w:themeColor="text1" w:themeTint="D8"/>
    </w:rPr>
  </w:style>
  <w:style w:type="paragraph" w:styleId="Title">
    <w:name w:val="Title"/>
    <w:basedOn w:val="Normal"/>
    <w:next w:val="Normal"/>
    <w:link w:val="TitleChar"/>
    <w:uiPriority w:val="10"/>
    <w:qFormat/>
    <w:rsid w:val="0041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81A"/>
    <w:pPr>
      <w:spacing w:before="160"/>
      <w:jc w:val="center"/>
    </w:pPr>
    <w:rPr>
      <w:i/>
      <w:iCs/>
      <w:color w:val="404040" w:themeColor="text1" w:themeTint="BF"/>
    </w:rPr>
  </w:style>
  <w:style w:type="character" w:customStyle="1" w:styleId="QuoteChar">
    <w:name w:val="Quote Char"/>
    <w:basedOn w:val="DefaultParagraphFont"/>
    <w:link w:val="Quote"/>
    <w:uiPriority w:val="29"/>
    <w:rsid w:val="0041681A"/>
    <w:rPr>
      <w:i/>
      <w:iCs/>
      <w:color w:val="404040" w:themeColor="text1" w:themeTint="BF"/>
    </w:rPr>
  </w:style>
  <w:style w:type="paragraph" w:styleId="ListParagraph">
    <w:name w:val="List Paragraph"/>
    <w:basedOn w:val="Normal"/>
    <w:uiPriority w:val="34"/>
    <w:qFormat/>
    <w:rsid w:val="0041681A"/>
    <w:pPr>
      <w:ind w:left="720"/>
      <w:contextualSpacing/>
    </w:pPr>
  </w:style>
  <w:style w:type="character" w:styleId="IntenseEmphasis">
    <w:name w:val="Intense Emphasis"/>
    <w:basedOn w:val="DefaultParagraphFont"/>
    <w:uiPriority w:val="21"/>
    <w:qFormat/>
    <w:rsid w:val="0041681A"/>
    <w:rPr>
      <w:i/>
      <w:iCs/>
      <w:color w:val="0F4761" w:themeColor="accent1" w:themeShade="BF"/>
    </w:rPr>
  </w:style>
  <w:style w:type="paragraph" w:styleId="IntenseQuote">
    <w:name w:val="Intense Quote"/>
    <w:basedOn w:val="Normal"/>
    <w:next w:val="Normal"/>
    <w:link w:val="IntenseQuoteChar"/>
    <w:uiPriority w:val="30"/>
    <w:qFormat/>
    <w:rsid w:val="00416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81A"/>
    <w:rPr>
      <w:i/>
      <w:iCs/>
      <w:color w:val="0F4761" w:themeColor="accent1" w:themeShade="BF"/>
    </w:rPr>
  </w:style>
  <w:style w:type="character" w:styleId="IntenseReference">
    <w:name w:val="Intense Reference"/>
    <w:basedOn w:val="DefaultParagraphFont"/>
    <w:uiPriority w:val="32"/>
    <w:qFormat/>
    <w:rsid w:val="0041681A"/>
    <w:rPr>
      <w:b/>
      <w:bCs/>
      <w:smallCaps/>
      <w:color w:val="0F4761" w:themeColor="accent1" w:themeShade="BF"/>
      <w:spacing w:val="5"/>
    </w:rPr>
  </w:style>
  <w:style w:type="paragraph" w:styleId="Revision">
    <w:name w:val="Revision"/>
    <w:hidden/>
    <w:uiPriority w:val="99"/>
    <w:semiHidden/>
    <w:rsid w:val="00F2346F"/>
    <w:pPr>
      <w:spacing w:after="0" w:line="240" w:lineRule="auto"/>
    </w:pPr>
    <w:rPr>
      <w:rFonts w:ascii="Candara" w:hAnsi="Candara"/>
      <w:color w:val="555556"/>
      <w:sz w:val="22"/>
    </w:rPr>
  </w:style>
  <w:style w:type="paragraph" w:styleId="Header">
    <w:name w:val="header"/>
    <w:basedOn w:val="Normal"/>
    <w:link w:val="HeaderChar"/>
    <w:uiPriority w:val="99"/>
    <w:unhideWhenUsed/>
    <w:rsid w:val="001B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BF5"/>
    <w:rPr>
      <w:rFonts w:ascii="Candara" w:hAnsi="Candara"/>
      <w:color w:val="555556"/>
      <w:sz w:val="22"/>
    </w:rPr>
  </w:style>
  <w:style w:type="paragraph" w:styleId="Footer">
    <w:name w:val="footer"/>
    <w:basedOn w:val="Normal"/>
    <w:link w:val="FooterChar"/>
    <w:uiPriority w:val="99"/>
    <w:unhideWhenUsed/>
    <w:rsid w:val="001B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F5"/>
    <w:rPr>
      <w:rFonts w:ascii="Candara" w:hAnsi="Candara"/>
      <w:color w:val="555556"/>
      <w:sz w:val="22"/>
    </w:rPr>
  </w:style>
  <w:style w:type="character" w:styleId="Hyperlink">
    <w:name w:val="Hyperlink"/>
    <w:basedOn w:val="DefaultParagraphFont"/>
    <w:uiPriority w:val="99"/>
    <w:unhideWhenUsed/>
    <w:rsid w:val="001B7BF5"/>
    <w:rPr>
      <w:color w:val="467886" w:themeColor="hyperlink"/>
      <w:u w:val="single"/>
    </w:rPr>
  </w:style>
  <w:style w:type="character" w:styleId="UnresolvedMention">
    <w:name w:val="Unresolved Mention"/>
    <w:basedOn w:val="DefaultParagraphFont"/>
    <w:uiPriority w:val="99"/>
    <w:semiHidden/>
    <w:unhideWhenUsed/>
    <w:rsid w:val="001B7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2B59505851E4C92C4BD80D41C7AEB" ma:contentTypeVersion="16" ma:contentTypeDescription="Create a new document." ma:contentTypeScope="" ma:versionID="e430efe0eb3580a6ed72bab6579af96d">
  <xsd:schema xmlns:xsd="http://www.w3.org/2001/XMLSchema" xmlns:xs="http://www.w3.org/2001/XMLSchema" xmlns:p="http://schemas.microsoft.com/office/2006/metadata/properties" xmlns:ns2="4a2703dc-230b-4ff5-8855-f1f95107516a" xmlns:ns3="59eaa038-bbc7-402e-aca9-b0b6af92a573" targetNamespace="http://schemas.microsoft.com/office/2006/metadata/properties" ma:root="true" ma:fieldsID="28c506926201aa986c6dda1d3bad58fc" ns2:_="" ns3:_="">
    <xsd:import namespace="4a2703dc-230b-4ff5-8855-f1f95107516a"/>
    <xsd:import namespace="59eaa038-bbc7-402e-aca9-b0b6af92a5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ReviewDat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703dc-230b-4ff5-8855-f1f951075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ReviewDate" ma:index="14" nillable="true" ma:displayName="Review Date" ma:description="Date document to be reviewed" ma:format="DateOnly" ma:internalName="ReviewDate">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a22cd-05b2-4ffc-904a-514cc05e4b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aa038-bbc7-402e-aca9-b0b6af92a5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22fb80-626b-4c89-ad98-05da2e72cc31}" ma:internalName="TaxCatchAll" ma:showField="CatchAllData" ma:web="59eaa038-bbc7-402e-aca9-b0b6af92a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eaa038-bbc7-402e-aca9-b0b6af92a573" xsi:nil="true"/>
    <ReviewDate xmlns="4a2703dc-230b-4ff5-8855-f1f95107516a" xsi:nil="true"/>
    <lcf76f155ced4ddcb4097134ff3c332f xmlns="4a2703dc-230b-4ff5-8855-f1f9510751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C4077B-332C-4BC8-BE18-EA96EFF0BBC6}">
  <ds:schemaRefs>
    <ds:schemaRef ds:uri="http://schemas.microsoft.com/sharepoint/v3/contenttype/forms"/>
  </ds:schemaRefs>
</ds:datastoreItem>
</file>

<file path=customXml/itemProps2.xml><?xml version="1.0" encoding="utf-8"?>
<ds:datastoreItem xmlns:ds="http://schemas.openxmlformats.org/officeDocument/2006/customXml" ds:itemID="{4CC3F927-EC87-4AD8-95ED-4A6DE29C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703dc-230b-4ff5-8855-f1f95107516a"/>
    <ds:schemaRef ds:uri="59eaa038-bbc7-402e-aca9-b0b6af92a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9AD7F-B400-4C02-AC28-80998E438643}">
  <ds:schemaRefs>
    <ds:schemaRef ds:uri="http://schemas.microsoft.com/office/2006/metadata/properties"/>
    <ds:schemaRef ds:uri="http://schemas.microsoft.com/office/infopath/2007/PartnerControls"/>
    <ds:schemaRef ds:uri="59eaa038-bbc7-402e-aca9-b0b6af92a573"/>
    <ds:schemaRef ds:uri="4a2703dc-230b-4ff5-8855-f1f9510751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565</Words>
  <Characters>3277</Characters>
  <Application>Microsoft Office Word</Application>
  <DocSecurity>0</DocSecurity>
  <Lines>76</Lines>
  <Paragraphs>65</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Brudenell</dc:creator>
  <cp:keywords/>
  <dc:description/>
  <cp:lastModifiedBy>Candice Brudenell</cp:lastModifiedBy>
  <cp:revision>4</cp:revision>
  <dcterms:created xsi:type="dcterms:W3CDTF">2026-02-06T02:43:00Z</dcterms:created>
  <dcterms:modified xsi:type="dcterms:W3CDTF">2026-02-06T02:46:00Z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0x010100BF52B59505851E4C92C4BD80D41C7AEB</vt:lpwstr>
  </property>
  <property fmtid="{D5CDD505-2E9C-101B-9397-08002B2CF9AE}" pid="3" name="MediaServiceImageTags">
    <vt:lpwstr/>
  </property>
</Properties>
</file>